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3A954" w14:textId="7DACC081" w:rsidR="00A628D1" w:rsidRPr="00C31183" w:rsidRDefault="0064705A" w:rsidP="00A62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Hlk79153129"/>
      <w:r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Информация о результатах контрольного мероприятия</w:t>
      </w:r>
      <w:r w:rsidR="00A628D1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плановой выездной ревизии финансово-хозяйственной деятельности </w:t>
      </w:r>
      <w:r w:rsidR="00C31183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Муниципальном автономном </w:t>
      </w:r>
      <w:r w:rsidR="00431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общеобразовательном </w:t>
      </w:r>
      <w:r w:rsidR="00C31183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учреждении «</w:t>
      </w:r>
      <w:r w:rsidR="00431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 общеобразовательная школа № 10</w:t>
      </w:r>
      <w:r w:rsidR="00C31183" w:rsidRPr="00C311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</w:p>
    <w:p w14:paraId="598B89B0" w14:textId="02AA94A2" w:rsidR="0064705A" w:rsidRPr="00A628D1" w:rsidRDefault="00A628D1" w:rsidP="00A62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Акт от </w:t>
      </w:r>
      <w:r w:rsidR="00431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31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431E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</w:p>
    <w:p w14:paraId="726CEE43" w14:textId="77777777" w:rsidR="002F764A" w:rsidRDefault="002F764A" w:rsidP="002F76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913154" w14:textId="0399F71A" w:rsidR="002F764A" w:rsidRDefault="002F764A" w:rsidP="002F76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764A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результатах контрольного мероприятия:</w:t>
      </w:r>
    </w:p>
    <w:bookmarkEnd w:id="0"/>
    <w:p w14:paraId="3F5B8549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Анализ основных видов деятельности учреждения. Муниципальное задание на оказание муниципальных работ и финансовое обеспечение его выполнения. Анализ исполнения плана финансово-хозяйственной деятельности Учреждения. Проверка правомерности и эффективности использования субсидий на иные цели.</w:t>
      </w:r>
    </w:p>
    <w:p w14:paraId="351523AD" w14:textId="77777777" w:rsidR="00431E4B" w:rsidRPr="00431E4B" w:rsidRDefault="00431E4B" w:rsidP="00431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E4B">
        <w:rPr>
          <w:rFonts w:ascii="Times New Roman" w:eastAsia="Times New Roman" w:hAnsi="Times New Roman" w:cs="Times New Roman"/>
          <w:sz w:val="24"/>
          <w:szCs w:val="24"/>
        </w:rPr>
        <w:t>1) При формировании и выполнении муниципального задания на оказание муниципальных услуг (выполнение работ) и финансовое обеспечение его выполнения установлено:</w:t>
      </w:r>
    </w:p>
    <w:p w14:paraId="07067BBE" w14:textId="77777777" w:rsidR="00431E4B" w:rsidRPr="00431E4B" w:rsidRDefault="00431E4B" w:rsidP="00431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E4B">
        <w:rPr>
          <w:rFonts w:ascii="Times New Roman" w:eastAsia="Times New Roman" w:hAnsi="Times New Roman" w:cs="Times New Roman"/>
          <w:sz w:val="24"/>
          <w:szCs w:val="24"/>
        </w:rPr>
        <w:t>- в нарушение Порядка проведения мониторинга выполнения муниципального задания от 10.06.2022г. №171-07-01-01-373 не утвержден документ, содержащий сведения о посещаемости за 2023г. с целью заполнения Информации о фактическом пребывании обучающихся.</w:t>
      </w:r>
    </w:p>
    <w:p w14:paraId="1EC5DDF9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При анализе Плана финансово-хозяйственной </w:t>
      </w:r>
      <w:proofErr w:type="gramStart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 в</w:t>
      </w:r>
      <w:proofErr w:type="gramEnd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проверяемом периоде установлено:</w:t>
      </w:r>
    </w:p>
    <w:p w14:paraId="27E16AE8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в нарушение п.6 Приказа Минфина России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до настоящего времени на официальном сайте https://bus.gov.ru. не опубликована информация о плане ФХД на 2023г., 2024г. и 2025г.</w:t>
      </w:r>
    </w:p>
    <w:p w14:paraId="0DCF0AC5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Проверка кассовых операций, учета денежных средств на лицевых счетах.</w:t>
      </w:r>
    </w:p>
    <w:p w14:paraId="5ADCDBCA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нарушении п. 1 ст. 10, п. 1,3 ст. 9 ФЗ от 06.12.2011г. № 402-ФЗ «О бухгалтерском учете», п. 21 СГС «Концептуальные основы» в ходе контрольного мероприятия установлены случаи несвоевременного отражения в учете фактов хозяйственной жизни, а именно принятие на забалансовый счет «03» бланков строгой отчетности и их списание не в момент совершения факта хозяйственной жизни:</w:t>
      </w:r>
    </w:p>
    <w:p w14:paraId="65E8C55F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искажение бухгалтерской отчетности на </w:t>
      </w:r>
      <w:r w:rsidRPr="0043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873 руб.</w:t>
      </w:r>
    </w:p>
    <w:p w14:paraId="2DE8CA6B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искажение бухгалтерских регистров на 873 руб.</w:t>
      </w:r>
    </w:p>
    <w:p w14:paraId="56AA3CD7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Проверка расчетов с подотчетными лицами.</w:t>
      </w:r>
    </w:p>
    <w:p w14:paraId="5BECF95E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контрольного мероприятия нарушений и замечаний не выявлено.</w:t>
      </w:r>
    </w:p>
    <w:p w14:paraId="2D276F41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Оплата труда работников Учреждения и соблюдение трудового законодательства.</w:t>
      </w:r>
    </w:p>
    <w:p w14:paraId="5CE3DDDD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В нарушение трудового законодательства установлено:</w:t>
      </w:r>
    </w:p>
    <w:p w14:paraId="2CC34B8A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недоплата заработной платы в сумме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9 250,73 руб.</w:t>
      </w:r>
    </w:p>
    <w:p w14:paraId="5B35C852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431E4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неправомерные выплаты на сумму 737 030,40 руб.</w:t>
      </w:r>
    </w:p>
    <w:p w14:paraId="3952CDCD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Проверка наличия, сохранности и эффективного использования муниципального имущества.</w:t>
      </w:r>
    </w:p>
    <w:p w14:paraId="38AE0D69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1) В нарушение Приказа Минфина России от 01.12.2010г.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Единой учетной политикой при централизации учета установлено:</w:t>
      </w:r>
    </w:p>
    <w:p w14:paraId="08454A1E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излишки нефинансовых активов и материальных ценностей в количестве 27 единиц;</w:t>
      </w:r>
    </w:p>
    <w:p w14:paraId="6539139F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неучтенные объекты материальных ценностей в количестве 322 единиц;</w:t>
      </w:r>
    </w:p>
    <w:p w14:paraId="59B2B9D7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объекты нефинансовых активов, материальных ценностей не соответствующие требованиям эксплуатации в количестве 23 единиц на общую сумму 9 403 руб.; </w:t>
      </w:r>
    </w:p>
    <w:p w14:paraId="38904958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излишки материальных ценностей в количестве 160 единиц на общую сумму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3 562,08 руб.;</w:t>
      </w:r>
    </w:p>
    <w:p w14:paraId="125A7F73" w14:textId="19039C8E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искажение бухгалтерской отчетности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110 679,86 руб.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4D82762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отсутствие инвентарных номером, либо указан не верный инвентарный номер на объектах основных средств;</w:t>
      </w:r>
    </w:p>
    <w:p w14:paraId="636BB4D0" w14:textId="3A99C509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неэффективное использование муниципального имущества стоимостью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721 514,54 руб.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6048414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искажение бухгалтерской отчетности по забалансовым счетам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2 417 229,</w:t>
      </w:r>
      <w:proofErr w:type="gramStart"/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58  руб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14:paraId="664BB80C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инвентарных карточках не отражены сведения о проведении ремонта основных средств на общую сумму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6 390,00 руб.;</w:t>
      </w:r>
    </w:p>
    <w:p w14:paraId="01E09AD3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инвентарных карточках учета нефинансовых активов (ф. 0509215) частично заполняется, либо не заполняется раздел "Краткая индивидуальная характеристика объекта"; </w:t>
      </w:r>
    </w:p>
    <w:p w14:paraId="20A04ACD" w14:textId="77777777" w:rsidR="00431E4B" w:rsidRPr="00431E4B" w:rsidRDefault="00431E4B" w:rsidP="00431E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нарушения при обоснованности и правомерности выдачи средств индивидуальной защиты (СИЗ);</w:t>
      </w:r>
    </w:p>
    <w:p w14:paraId="40624C27" w14:textId="0BC4FCB5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несвоевременная регистрация данных</w:t>
      </w:r>
      <w:proofErr w:type="gramEnd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содержащихся в первичных учетных документах на сумму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34 122,97 руб.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6104F0F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неправомерное расходование субсидии на выполнение муниципального задания на сумму 4 288,00 руб. (подлежит возмещению в бюджет).</w:t>
      </w:r>
    </w:p>
    <w:p w14:paraId="0AB5B297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При проверке соблюдения установленного порядка сдачи в аренду, безвозмездное пользование помещений и другого имущества установлено:</w:t>
      </w:r>
    </w:p>
    <w:p w14:paraId="779110E9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- в нарушение норм Единой учетной политики, утвержденной приказом МКУ «ЦБУ» от 19.04.2021 № 76 (в ред. от 26.10.2021 № 156) в инвентарной карточке учета нефинансовых активов не отражены данные о передаче части помещения в аренду (3 договора), в безвозмездное пользование (10 договоров);</w:t>
      </w:r>
    </w:p>
    <w:p w14:paraId="1342B47B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приказа УИЗО «Об утверждении типовой формы договора аренды» от 13.08.2021г. №171-17-08-03-4 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предъявлены пени к Арендатору за нарушение сроков внесения арендной платы, не дополучен доход в сумме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12 379,03 руб.;</w:t>
      </w:r>
    </w:p>
    <w:p w14:paraId="011293A7" w14:textId="1F1F5006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431E4B">
        <w:rPr>
          <w:rFonts w:ascii="Times New Roman" w:eastAsia="Times New Roman" w:hAnsi="Times New Roman" w:cs="Times New Roman"/>
          <w:sz w:val="24"/>
          <w:szCs w:val="24"/>
        </w:rPr>
        <w:t xml:space="preserve">в нарушение Гражданского Кодекса РФ, Федерального </w:t>
      </w:r>
      <w:proofErr w:type="gramStart"/>
      <w:r w:rsidRPr="00431E4B">
        <w:rPr>
          <w:rFonts w:ascii="Times New Roman" w:eastAsia="Times New Roman" w:hAnsi="Times New Roman" w:cs="Times New Roman"/>
          <w:sz w:val="24"/>
          <w:szCs w:val="24"/>
        </w:rPr>
        <w:t>Закона  от</w:t>
      </w:r>
      <w:proofErr w:type="gramEnd"/>
      <w:r w:rsidRPr="00431E4B">
        <w:rPr>
          <w:rFonts w:ascii="Times New Roman" w:eastAsia="Times New Roman" w:hAnsi="Times New Roman" w:cs="Times New Roman"/>
          <w:sz w:val="24"/>
          <w:szCs w:val="24"/>
        </w:rPr>
        <w:t xml:space="preserve"> 06.12.2011г. №402-ФЗ «О бухгалтерском учете», Приказа Минфина России от 01.12.2010г. №157н установлено 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искажение бухгалтерской отчетности по забалансовым счетам составило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510 871,93 руб. </w:t>
      </w:r>
    </w:p>
    <w:p w14:paraId="40B70D4A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Проверка бухгалтерского учета.</w:t>
      </w: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ab/>
      </w:r>
    </w:p>
    <w:p w14:paraId="49859C63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объектам основных средств присваиваются инвентарные номера не в соответствии </w:t>
      </w:r>
      <w:proofErr w:type="gramStart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со структурой</w:t>
      </w:r>
      <w:proofErr w:type="gramEnd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утвержденной в Единой учетной политике при централизации учета;  </w:t>
      </w:r>
    </w:p>
    <w:p w14:paraId="25CD525D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нарушение </w:t>
      </w:r>
      <w:r w:rsidRPr="00431E4B">
        <w:rPr>
          <w:rFonts w:ascii="Times New Roman" w:eastAsia="Times New Roman" w:hAnsi="Times New Roman" w:cs="Times New Roman"/>
          <w:sz w:val="24"/>
          <w:szCs w:val="24"/>
        </w:rPr>
        <w:t xml:space="preserve">Приказа Минфина России от 01.12.2010г. №157н, Федерального стандарта «Финансовые инструменты» №129н необоснованно списана дебиторская задолженность в сумме </w:t>
      </w:r>
      <w:r w:rsidRPr="00431E4B">
        <w:rPr>
          <w:rFonts w:ascii="Times New Roman" w:eastAsia="Times New Roman" w:hAnsi="Times New Roman" w:cs="Times New Roman"/>
          <w:bCs/>
          <w:sz w:val="24"/>
          <w:szCs w:val="24"/>
        </w:rPr>
        <w:t>184,75 руб.;</w:t>
      </w:r>
    </w:p>
    <w:p w14:paraId="50DD8FCD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Times New Roman" w:hAnsi="Times New Roman" w:cs="Times New Roman"/>
          <w:sz w:val="24"/>
          <w:szCs w:val="24"/>
        </w:rPr>
        <w:t>- в нарушение Единой учетной политики при централизации учета без документального подтверждения списана на забалансовый счет задолженность, невостребованная кредиторами в сумме 1 373,79 руб.</w:t>
      </w:r>
    </w:p>
    <w:p w14:paraId="5EE29964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Прочее.</w:t>
      </w:r>
    </w:p>
    <w:p w14:paraId="36237D13" w14:textId="77777777" w:rsidR="00431E4B" w:rsidRPr="00431E4B" w:rsidRDefault="00431E4B" w:rsidP="00431E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Times New Roman" w:hAnsi="Times New Roman" w:cs="Times New Roman"/>
          <w:sz w:val="24"/>
          <w:szCs w:val="24"/>
        </w:rPr>
        <w:t xml:space="preserve">В нарушение Гражданского Кодекса РФ, Федерального Закона  от 06.12.2011г. №402-ФЗ «О бухгалтерском учете», Приказа Минфина России от 01.12.2010г. №157н 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выборочной проверке обоснованности расходов по оплате услуг связи, услуг по содержанию имущества, прочих работ (услуг), прочих расходов и договорных отношений, обоснованность и эффективность расходов в рамках договоров выявлены замечания и нарушения:</w:t>
      </w:r>
    </w:p>
    <w:p w14:paraId="0A822363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неправомерно производились расходы по оплате услуг охраны за помещения, переданные в безвозмездное пользование в сумме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5 547,68 руб.</w:t>
      </w: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(подлежит возврату в бюджет округа);</w:t>
      </w:r>
    </w:p>
    <w:p w14:paraId="3D944C81" w14:textId="77777777" w:rsidR="00431E4B" w:rsidRPr="00431E4B" w:rsidRDefault="00431E4B" w:rsidP="00431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</w:t>
      </w:r>
      <w:proofErr w:type="gramStart"/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 необоснованного</w:t>
      </w:r>
      <w:proofErr w:type="gramEnd"/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завышения площади зданий,</w:t>
      </w:r>
      <w:r w:rsidRPr="00431E4B">
        <w:rPr>
          <w:rFonts w:ascii="Times New Roman" w:eastAsia="Calibri" w:hAnsi="Times New Roman" w:cs="Times New Roman"/>
          <w:sz w:val="24"/>
          <w:szCs w:val="24"/>
        </w:rPr>
        <w:t xml:space="preserve"> неверного установления тарифа страховых взносов</w:t>
      </w:r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соответственно увеличения стоимости  технического обслуживания за проверяемый период, неправомерные расходы средств субсидии на выполнение муниципального задания составили 76 360,70 руб., (подлежит возмещению в бюджет округа).</w:t>
      </w:r>
    </w:p>
    <w:p w14:paraId="7D47CBE6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31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в нарушение </w:t>
      </w:r>
      <w:r w:rsidRPr="0043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Пермского края от 13.01.2023 № 17-п «О предоставлении субсидий из бюджета Пермского края бюджетам муниципальных образований Пермского края на реализацию регионального проекта «Комфортный край» </w:t>
      </w:r>
      <w:r w:rsidRPr="00431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фактически выполненные работы ИП </w:t>
      </w:r>
      <w:proofErr w:type="spellStart"/>
      <w:r w:rsidRPr="00431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Мухамитова</w:t>
      </w:r>
      <w:proofErr w:type="spellEnd"/>
      <w:r w:rsidRPr="00431E4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З.Ф. не соответствуют Дизайн-проекту, направленному для участия в Проекте на имя Министра территориального развития Пермского края и согласованному Министерством образования Пермского края и частично ЛСР, являющемуся неотъемлемой частью договора </w:t>
      </w:r>
      <w:r w:rsidRPr="00431E4B">
        <w:rPr>
          <w:rFonts w:ascii="Times New Roman" w:eastAsia="Calibri" w:hAnsi="Times New Roman" w:cs="Times New Roman"/>
          <w:bCs/>
          <w:sz w:val="24"/>
          <w:szCs w:val="24"/>
        </w:rPr>
        <w:t>от 21.03.2024.</w:t>
      </w:r>
    </w:p>
    <w:p w14:paraId="46662AFE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431E4B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Поступление и расходование средств от приносящей доход деятельности, добровольных пожертвований, законность оформления данных поступлений.</w:t>
      </w:r>
    </w:p>
    <w:p w14:paraId="588C369A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нарушение Гражданского законодательства установлен недостаточный </w:t>
      </w:r>
      <w:proofErr w:type="gramStart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 в</w:t>
      </w:r>
      <w:proofErr w:type="gramEnd"/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 внесения родительской платы. </w:t>
      </w:r>
    </w:p>
    <w:p w14:paraId="21998157" w14:textId="77777777" w:rsidR="00431E4B" w:rsidRPr="00431E4B" w:rsidRDefault="00431E4B" w:rsidP="00431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1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Всего по результатам ревизии финансово-хозяйственной деятельности в </w:t>
      </w:r>
      <w:r w:rsidRPr="00431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Муниципальном автономном общеобразовательном учреждении «Средняя общеобразовательная школа №10» за 2023г., с января по октябрь 2024г. установлены финансовые и не финансовые нарушения на общую сумму 4 661 935,04 руб. </w:t>
      </w:r>
    </w:p>
    <w:p w14:paraId="44A94144" w14:textId="77777777" w:rsidR="00431E4B" w:rsidRDefault="00431E4B" w:rsidP="00431E4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43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D648E"/>
    <w:multiLevelType w:val="hybridMultilevel"/>
    <w:tmpl w:val="1ABAB7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3B6"/>
    <w:multiLevelType w:val="hybridMultilevel"/>
    <w:tmpl w:val="CFBCF6E0"/>
    <w:lvl w:ilvl="0" w:tplc="6E9252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47DD1FC0"/>
    <w:multiLevelType w:val="hybridMultilevel"/>
    <w:tmpl w:val="FE1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F72D1"/>
    <w:multiLevelType w:val="hybridMultilevel"/>
    <w:tmpl w:val="B044B50C"/>
    <w:lvl w:ilvl="0" w:tplc="7B668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9"/>
    <w:rsid w:val="00116D5E"/>
    <w:rsid w:val="001B786C"/>
    <w:rsid w:val="001E0926"/>
    <w:rsid w:val="002B7BB3"/>
    <w:rsid w:val="002F764A"/>
    <w:rsid w:val="0036234F"/>
    <w:rsid w:val="003707F3"/>
    <w:rsid w:val="0039115F"/>
    <w:rsid w:val="003E5B7C"/>
    <w:rsid w:val="00431E4B"/>
    <w:rsid w:val="00436739"/>
    <w:rsid w:val="00480AC8"/>
    <w:rsid w:val="0061017C"/>
    <w:rsid w:val="006308E8"/>
    <w:rsid w:val="0064705A"/>
    <w:rsid w:val="006621E3"/>
    <w:rsid w:val="006645B3"/>
    <w:rsid w:val="00695624"/>
    <w:rsid w:val="00844FB1"/>
    <w:rsid w:val="00A04D32"/>
    <w:rsid w:val="00A628D1"/>
    <w:rsid w:val="00A73213"/>
    <w:rsid w:val="00AC6B63"/>
    <w:rsid w:val="00B40335"/>
    <w:rsid w:val="00B73A2D"/>
    <w:rsid w:val="00C31183"/>
    <w:rsid w:val="00D82CF4"/>
    <w:rsid w:val="00D919D7"/>
    <w:rsid w:val="00E57881"/>
    <w:rsid w:val="00E71B9D"/>
    <w:rsid w:val="00F177B8"/>
    <w:rsid w:val="00F42796"/>
    <w:rsid w:val="00F75DAA"/>
    <w:rsid w:val="00F91E67"/>
    <w:rsid w:val="00F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788F"/>
  <w15:chartTrackingRefBased/>
  <w15:docId w15:val="{F6A8B83D-1CF3-4E23-851C-01030A04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Кугнур Финансы</dc:creator>
  <cp:keywords/>
  <dc:description/>
  <cp:lastModifiedBy>User</cp:lastModifiedBy>
  <cp:revision>29</cp:revision>
  <dcterms:created xsi:type="dcterms:W3CDTF">2023-01-30T06:22:00Z</dcterms:created>
  <dcterms:modified xsi:type="dcterms:W3CDTF">2025-06-05T11:21:00Z</dcterms:modified>
</cp:coreProperties>
</file>